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2" w:rsidRPr="0059308D" w:rsidRDefault="00837E7A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</w:t>
      </w:r>
      <w:r w:rsidR="00221576">
        <w:rPr>
          <w:rFonts w:ascii="Arial" w:hAnsi="Arial" w:cs="Arial"/>
          <w:i/>
          <w:sz w:val="22"/>
          <w:szCs w:val="24"/>
        </w:rPr>
        <w:t>2</w:t>
      </w:r>
      <w:r w:rsidR="00B759B4">
        <w:rPr>
          <w:rFonts w:ascii="Arial" w:hAnsi="Arial" w:cs="Arial"/>
          <w:i/>
          <w:sz w:val="22"/>
          <w:szCs w:val="24"/>
        </w:rPr>
        <w:t xml:space="preserve">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61537" w:rsidRPr="0059308D" w:rsidRDefault="00B61537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837E7A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837E7A">
        <w:rPr>
          <w:rFonts w:ascii="Arial" w:hAnsi="Arial" w:cs="Arial"/>
          <w:b/>
          <w:szCs w:val="24"/>
        </w:rPr>
        <w:t>OŚWIADCZENIE</w:t>
      </w:r>
    </w:p>
    <w:p w:rsidR="00642334" w:rsidRPr="00837E7A" w:rsidRDefault="00694693" w:rsidP="00642334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837E7A">
        <w:rPr>
          <w:rFonts w:ascii="Arial" w:hAnsi="Arial" w:cs="Arial"/>
          <w:b/>
          <w:szCs w:val="24"/>
        </w:rPr>
        <w:t>O BRAKU PODSTAW DO WYKLUCZENIA</w:t>
      </w:r>
      <w:r w:rsidR="00CA31FB" w:rsidRPr="00837E7A">
        <w:rPr>
          <w:rFonts w:ascii="Arial" w:hAnsi="Arial" w:cs="Arial"/>
          <w:b/>
          <w:szCs w:val="24"/>
        </w:rPr>
        <w:t xml:space="preserve"> </w:t>
      </w:r>
      <w:r w:rsidR="00642334" w:rsidRPr="00837E7A">
        <w:rPr>
          <w:rFonts w:ascii="Arial" w:hAnsi="Arial" w:cs="Arial"/>
          <w:b/>
          <w:szCs w:val="24"/>
        </w:rPr>
        <w:br/>
      </w:r>
      <w:r w:rsidR="00CA31FB" w:rsidRPr="00837E7A">
        <w:rPr>
          <w:rFonts w:ascii="Arial" w:hAnsi="Arial" w:cs="Arial"/>
          <w:b/>
          <w:szCs w:val="24"/>
        </w:rPr>
        <w:t>Z POSTĘPOWANIA</w:t>
      </w:r>
      <w:r w:rsidR="001D0384" w:rsidRPr="00837E7A">
        <w:rPr>
          <w:rFonts w:ascii="Arial" w:hAnsi="Arial" w:cs="Arial"/>
          <w:b/>
          <w:szCs w:val="24"/>
        </w:rPr>
        <w:t xml:space="preserve">NA </w:t>
      </w:r>
      <w:r w:rsidR="00377F0B" w:rsidRPr="00837E7A">
        <w:rPr>
          <w:rFonts w:ascii="Arial" w:hAnsi="Arial" w:cs="Arial"/>
          <w:b/>
          <w:szCs w:val="24"/>
        </w:rPr>
        <w:t xml:space="preserve">WYKONYWANIE </w:t>
      </w:r>
      <w:r w:rsidR="001D0384" w:rsidRPr="00837E7A">
        <w:rPr>
          <w:rFonts w:ascii="Arial" w:hAnsi="Arial" w:cs="Arial"/>
          <w:b/>
          <w:szCs w:val="24"/>
        </w:rPr>
        <w:t>BADA</w:t>
      </w:r>
      <w:r w:rsidR="00377F0B" w:rsidRPr="00837E7A">
        <w:rPr>
          <w:rFonts w:ascii="Arial" w:hAnsi="Arial" w:cs="Arial"/>
          <w:b/>
          <w:szCs w:val="24"/>
        </w:rPr>
        <w:t xml:space="preserve">Ń </w:t>
      </w:r>
      <w:r w:rsidR="00642334" w:rsidRPr="00837E7A">
        <w:rPr>
          <w:rFonts w:ascii="Arial" w:hAnsi="Arial" w:cs="Arial"/>
          <w:b/>
          <w:szCs w:val="24"/>
        </w:rPr>
        <w:t xml:space="preserve">PRÓBEK </w:t>
      </w:r>
      <w:r w:rsidR="00642334" w:rsidRPr="00837E7A">
        <w:rPr>
          <w:rFonts w:ascii="Arial" w:hAnsi="Arial" w:cs="Arial"/>
          <w:b/>
          <w:szCs w:val="24"/>
        </w:rPr>
        <w:br/>
        <w:t xml:space="preserve">WYROBÓW BUDOWLANYCH </w:t>
      </w:r>
      <w:r w:rsidR="00642334" w:rsidRPr="00837E7A">
        <w:rPr>
          <w:rFonts w:ascii="Arial" w:hAnsi="Arial" w:cs="Arial"/>
          <w:b/>
          <w:bCs/>
          <w:szCs w:val="24"/>
        </w:rPr>
        <w:t xml:space="preserve">PRZEZ WYKONAWCÓW POSIADAJĄCYCH AKREDYTACJĘ LABORATORIUM BADAWCZEGO, NIEBĘDĄCYCH JEDNOCZEŚNIE </w:t>
      </w:r>
      <w:r w:rsidR="00642334" w:rsidRPr="00837E7A">
        <w:rPr>
          <w:rFonts w:ascii="Arial" w:hAnsi="Arial" w:cs="Arial"/>
          <w:b/>
          <w:bCs/>
          <w:szCs w:val="24"/>
        </w:rPr>
        <w:br/>
        <w:t>AKREDYTOW</w:t>
      </w:r>
      <w:r w:rsidR="00837E7A">
        <w:rPr>
          <w:rFonts w:ascii="Arial" w:hAnsi="Arial" w:cs="Arial"/>
          <w:b/>
          <w:bCs/>
          <w:szCs w:val="24"/>
        </w:rPr>
        <w:t>ANĄ JEDNOSTKĄ WŁASNĄ PRODUCENTA</w:t>
      </w:r>
      <w:bookmarkStart w:id="0" w:name="_GoBack"/>
      <w:bookmarkEnd w:id="0"/>
    </w:p>
    <w:p w:rsidR="00A233CA" w:rsidRPr="00B759B4" w:rsidRDefault="00A233CA" w:rsidP="00BB44D4">
      <w:pPr>
        <w:pStyle w:val="Akapitzlist"/>
        <w:ind w:left="0"/>
        <w:jc w:val="center"/>
        <w:rPr>
          <w:rFonts w:ascii="Arial" w:hAnsi="Arial" w:cs="Arial"/>
          <w:b/>
        </w:rPr>
      </w:pP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</w:t>
      </w:r>
      <w:r w:rsidR="009767D3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r. poz. </w:t>
      </w:r>
      <w:r w:rsidR="009767D3">
        <w:rPr>
          <w:rFonts w:ascii="Arial" w:hAnsi="Arial" w:cs="Arial"/>
          <w:b/>
          <w:szCs w:val="24"/>
        </w:rPr>
        <w:t>1843</w:t>
      </w:r>
      <w:r w:rsidR="0077387A">
        <w:rPr>
          <w:rFonts w:ascii="Arial" w:hAnsi="Arial" w:cs="Arial"/>
          <w:b/>
          <w:szCs w:val="24"/>
        </w:rPr>
        <w:t xml:space="preserve">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9767D3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1D0384">
        <w:rPr>
          <w:rFonts w:ascii="Arial" w:hAnsi="Arial" w:cs="Arial"/>
          <w:bCs/>
        </w:rPr>
        <w:t>1</w:t>
      </w:r>
      <w:r w:rsidR="009767D3">
        <w:rPr>
          <w:rFonts w:ascii="Arial" w:hAnsi="Arial" w:cs="Arial"/>
          <w:bCs/>
        </w:rPr>
        <w:t>950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</w:t>
      </w:r>
      <w:r w:rsidR="0077387A">
        <w:rPr>
          <w:rFonts w:ascii="Arial" w:hAnsi="Arial" w:cs="Arial"/>
          <w:bCs/>
        </w:rPr>
        <w:t>20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</w:t>
      </w:r>
      <w:r w:rsidR="0077387A">
        <w:rPr>
          <w:rFonts w:ascii="Arial" w:hAnsi="Arial" w:cs="Arial"/>
          <w:bCs/>
        </w:rPr>
        <w:t>133)</w:t>
      </w:r>
      <w:r w:rsidRPr="0059308D">
        <w:rPr>
          <w:rFonts w:ascii="Arial" w:hAnsi="Arial" w:cs="Arial"/>
          <w:bCs/>
        </w:rPr>
        <w:t>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</w:t>
      </w:r>
      <w:r w:rsidR="009767D3">
        <w:rPr>
          <w:rFonts w:ascii="Arial" w:hAnsi="Arial" w:cs="Arial"/>
          <w:bCs/>
        </w:rPr>
        <w:t>20</w:t>
      </w:r>
      <w:r w:rsidRPr="0059308D">
        <w:rPr>
          <w:rFonts w:ascii="Arial" w:hAnsi="Arial" w:cs="Arial"/>
          <w:bCs/>
        </w:rPr>
        <w:t xml:space="preserve"> r. poz. </w:t>
      </w:r>
      <w:r w:rsidR="009767D3">
        <w:rPr>
          <w:rFonts w:ascii="Arial" w:hAnsi="Arial" w:cs="Arial"/>
          <w:bCs/>
        </w:rPr>
        <w:t>358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</w:t>
      </w:r>
      <w:r w:rsidR="0077387A">
        <w:rPr>
          <w:rFonts w:ascii="Arial" w:hAnsi="Arial" w:cs="Arial"/>
        </w:rPr>
        <w:t>20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77387A">
        <w:rPr>
          <w:rFonts w:ascii="Arial" w:hAnsi="Arial" w:cs="Arial"/>
        </w:rPr>
        <w:t>1076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p w:rsidR="00843043" w:rsidRPr="0059308D" w:rsidRDefault="00843043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975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843043" w:rsidRPr="0059308D" w:rsidTr="00843043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3043" w:rsidRPr="0059308D" w:rsidRDefault="00843043" w:rsidP="0084304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843043" w:rsidRPr="0059308D" w:rsidRDefault="00843043" w:rsidP="0084304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843043" w:rsidRPr="0059308D" w:rsidRDefault="00843043" w:rsidP="00843043">
            <w:pPr>
              <w:jc w:val="center"/>
              <w:rPr>
                <w:rFonts w:ascii="Arial" w:hAnsi="Arial" w:cs="Arial"/>
                <w:i/>
              </w:rPr>
            </w:pPr>
          </w:p>
          <w:p w:rsidR="00843043" w:rsidRPr="0059308D" w:rsidRDefault="00843043" w:rsidP="00843043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3043" w:rsidRPr="0059308D" w:rsidRDefault="00843043" w:rsidP="0084304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843043" w:rsidRPr="0059308D" w:rsidRDefault="00843043" w:rsidP="0084304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843043" w:rsidRPr="0059308D" w:rsidRDefault="00843043" w:rsidP="0084304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843043" w:rsidRPr="0059308D" w:rsidRDefault="00843043" w:rsidP="00843043">
            <w:pPr>
              <w:jc w:val="center"/>
              <w:rPr>
                <w:rFonts w:ascii="Arial" w:hAnsi="Arial" w:cs="Arial"/>
                <w:i/>
              </w:rPr>
            </w:pPr>
          </w:p>
          <w:p w:rsidR="00843043" w:rsidRPr="0059308D" w:rsidRDefault="00843043" w:rsidP="00843043">
            <w:pPr>
              <w:rPr>
                <w:rFonts w:ascii="Arial" w:hAnsi="Arial" w:cs="Arial"/>
                <w:i/>
              </w:rPr>
            </w:pPr>
          </w:p>
        </w:tc>
      </w:tr>
    </w:tbl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lastRenderedPageBreak/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3535DE">
      <w:headerReference w:type="default" r:id="rId7"/>
      <w:footerReference w:type="default" r:id="rId8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30" w:rsidRDefault="002A0430">
      <w:r>
        <w:separator/>
      </w:r>
    </w:p>
  </w:endnote>
  <w:endnote w:type="continuationSeparator" w:id="0">
    <w:p w:rsidR="002A0430" w:rsidRDefault="002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837E7A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30" w:rsidRDefault="002A0430">
      <w:r>
        <w:separator/>
      </w:r>
    </w:p>
  </w:footnote>
  <w:footnote w:type="continuationSeparator" w:id="0">
    <w:p w:rsidR="002A0430" w:rsidRDefault="002A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C6" w:rsidRDefault="004428C6">
    <w:pPr>
      <w:pStyle w:val="Nagwek"/>
    </w:pPr>
  </w:p>
  <w:p w:rsidR="004428C6" w:rsidRDefault="00442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D0384"/>
    <w:rsid w:val="001E750E"/>
    <w:rsid w:val="00221576"/>
    <w:rsid w:val="00225FC2"/>
    <w:rsid w:val="002869D3"/>
    <w:rsid w:val="002A0430"/>
    <w:rsid w:val="003535DE"/>
    <w:rsid w:val="00370D4C"/>
    <w:rsid w:val="00376F2D"/>
    <w:rsid w:val="00377F0B"/>
    <w:rsid w:val="003B022C"/>
    <w:rsid w:val="003E7CE6"/>
    <w:rsid w:val="004114FA"/>
    <w:rsid w:val="00424693"/>
    <w:rsid w:val="00424ED7"/>
    <w:rsid w:val="004428C6"/>
    <w:rsid w:val="0045578E"/>
    <w:rsid w:val="00495B7F"/>
    <w:rsid w:val="004B79F6"/>
    <w:rsid w:val="004D2C7F"/>
    <w:rsid w:val="004D3C60"/>
    <w:rsid w:val="0059308D"/>
    <w:rsid w:val="00597710"/>
    <w:rsid w:val="005F0F9F"/>
    <w:rsid w:val="005F1A48"/>
    <w:rsid w:val="006060DF"/>
    <w:rsid w:val="00642334"/>
    <w:rsid w:val="00694693"/>
    <w:rsid w:val="006A27B8"/>
    <w:rsid w:val="006D4CB2"/>
    <w:rsid w:val="00723466"/>
    <w:rsid w:val="0077387A"/>
    <w:rsid w:val="007B4151"/>
    <w:rsid w:val="00837E7A"/>
    <w:rsid w:val="00843043"/>
    <w:rsid w:val="00882A34"/>
    <w:rsid w:val="00884F1C"/>
    <w:rsid w:val="008C6B60"/>
    <w:rsid w:val="0093730B"/>
    <w:rsid w:val="00965355"/>
    <w:rsid w:val="009767D3"/>
    <w:rsid w:val="00982109"/>
    <w:rsid w:val="0098792E"/>
    <w:rsid w:val="00A023F7"/>
    <w:rsid w:val="00A233CA"/>
    <w:rsid w:val="00A27722"/>
    <w:rsid w:val="00A912E0"/>
    <w:rsid w:val="00AC75BF"/>
    <w:rsid w:val="00B21E68"/>
    <w:rsid w:val="00B35226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D63B60"/>
    <w:rsid w:val="00D8126C"/>
    <w:rsid w:val="00DD53DE"/>
    <w:rsid w:val="00E40930"/>
    <w:rsid w:val="00E71435"/>
    <w:rsid w:val="00E807F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6C7D3C"/>
  <w15:docId w15:val="{25E9403C-A100-42CD-B5A3-77CEF0B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69</cp:revision>
  <cp:lastPrinted>2020-07-27T08:31:00Z</cp:lastPrinted>
  <dcterms:created xsi:type="dcterms:W3CDTF">2016-10-13T10:09:00Z</dcterms:created>
  <dcterms:modified xsi:type="dcterms:W3CDTF">2020-09-09T12:53:00Z</dcterms:modified>
</cp:coreProperties>
</file>